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经开区第十六批强制性清洁生产审核企业信息公示填报</w:t>
      </w:r>
    </w:p>
    <w:p>
      <w:pPr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根据《清洁生产审核办法》（国家发展和改革委员会、环境保护部令第38号，2016）第八条、第十一条相关规定，实施强制性清洁生产审核的企业应当依据企业“双超”、“高能耗”、“双有”的实际情况，在当地媒体、企业官网或其他便于公众知晓的方式公布企业相关信息。</w:t>
      </w:r>
    </w:p>
    <w:p>
      <w:pPr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由于本次经开区第十六批强审企业都属于“双有”企业，故按照相应的公布信息要求设计表格，</w:t>
      </w:r>
      <w:r>
        <w:rPr>
          <w:rFonts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现请各相关企业按照下表内容据实填报，并及时公布，详见表1。</w:t>
      </w:r>
    </w:p>
    <w:p>
      <w:pPr>
        <w:ind w:firstLine="560" w:firstLineChars="200"/>
        <w:rPr>
          <w:rFonts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center"/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表1</w:t>
      </w:r>
      <w:r>
        <w:rPr>
          <w:rFonts w:ascii="Times New Roman" w:hAnsi="Times New Roman" w:eastAsia="宋体" w:cs="Times New Roman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强制性清洁生产审核企业信息公开表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5"/>
        <w:gridCol w:w="2325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1624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常州市武进晨光金属涂料有限公司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1624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岳晓峰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企业所在地址</w:t>
            </w:r>
          </w:p>
        </w:tc>
        <w:tc>
          <w:tcPr>
            <w:tcW w:w="11624" w:type="dxa"/>
            <w:gridSpan w:val="5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常州市经济开发区横山桥镇蓉湖路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二、使用有毒有害原料名称、用途、数量（可增加行数）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原料名称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树脂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涂料生产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颜料</w:t>
            </w:r>
          </w:p>
        </w:tc>
        <w:tc>
          <w:tcPr>
            <w:tcW w:w="9299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涂料生产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助剂</w:t>
            </w:r>
          </w:p>
        </w:tc>
        <w:tc>
          <w:tcPr>
            <w:tcW w:w="9299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涂料生产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溶剂</w:t>
            </w:r>
          </w:p>
        </w:tc>
        <w:tc>
          <w:tcPr>
            <w:tcW w:w="9299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涂料生产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填料</w:t>
            </w:r>
          </w:p>
        </w:tc>
        <w:tc>
          <w:tcPr>
            <w:tcW w:w="9299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涂料生产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三、排放有毒有害物质的名称、浓度、数量（可增加行数）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物质名称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排放浓度（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mg/m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排放量（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二甲苯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9299" w:type="dxa"/>
            <w:gridSpan w:val="4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  <w:bookmarkStart w:id="0" w:name="_GoBack"/>
            <w:bookmarkEnd w:id="0"/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四、危险废物的产生和处置情况（可增加行数）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危废类别代码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实际产量（t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/a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储存量（t）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收尘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废气处理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900-299-12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废漆渣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264-011-12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废手套抹布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生产加工、设备清理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废过滤袋过滤网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过滤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废包装袋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颜料、填料粉包装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水性、油性废液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清洗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264-011-12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再生利用桶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树脂包装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9000只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400只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废包装桶</w:t>
            </w:r>
          </w:p>
        </w:tc>
        <w:tc>
          <w:tcPr>
            <w:tcW w:w="2324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助剂、溶剂等包装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废活性炭</w:t>
            </w:r>
          </w:p>
        </w:tc>
        <w:tc>
          <w:tcPr>
            <w:tcW w:w="2324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废气装置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900-041-49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25" w:type="dxa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25" w:type="dxa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委外处置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五、依法落实环境风险防控措施情况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企业已编制环境风险应急预案和环境风险评估报告，并定期修订。每年对员工进行环境保护教育培训，组织员工进行环境风险应急预案演练。企业已上一套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UV光氧+活性炭有机废气处置装置和布袋式除尘器，设有500M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事故应急池。每年委托第三方机构对公司进行环境检测，企业安环部每月组织对全公司进行环境隐患排查，对排查出的问题及时整改闭环。</w:t>
            </w:r>
          </w:p>
        </w:tc>
      </w:tr>
    </w:tbl>
    <w:p>
      <w:pPr>
        <w:ind w:firstLine="560" w:firstLineChars="200"/>
        <w:rPr>
          <w:rFonts w:hint="eastAsia" w:ascii="Times New Roman" w:hAnsi="Times New Roman" w:eastAsia="宋体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B9"/>
    <w:rsid w:val="003714B9"/>
    <w:rsid w:val="00697751"/>
    <w:rsid w:val="008C767A"/>
    <w:rsid w:val="0092782C"/>
    <w:rsid w:val="00D065AD"/>
    <w:rsid w:val="00DD7675"/>
    <w:rsid w:val="00E82298"/>
    <w:rsid w:val="00FC4AE5"/>
    <w:rsid w:val="053429B8"/>
    <w:rsid w:val="248B7438"/>
    <w:rsid w:val="51F10165"/>
    <w:rsid w:val="625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42</TotalTime>
  <ScaleCrop>false</ScaleCrop>
  <LinksUpToDate>false</LinksUpToDate>
  <CharactersWithSpaces>588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2020-04-03T07:04:00Z</dcterms:created>
  <dc:creator>陈 心一</dc:creator>
  <cp:lastModifiedBy>Administrator</cp:lastModifiedBy>
  <dcterms:modified xsi:type="dcterms:W3CDTF">2020-04-07T04:56:05Z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